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E9" w:rsidRPr="009E06E9" w:rsidRDefault="009E06E9" w:rsidP="009E06E9">
      <w:pPr>
        <w:spacing w:before="100" w:beforeAutospacing="1" w:after="100" w:afterAutospacing="1" w:line="240" w:lineRule="auto"/>
        <w:textAlignment w:val="baseline"/>
        <w:outlineLvl w:val="0"/>
        <w:rPr>
          <w:rFonts w:ascii="Helvetica" w:eastAsia="Times New Roman" w:hAnsi="Helvetica" w:cs="Helvetica"/>
          <w:b/>
          <w:bCs/>
          <w:color w:val="0C5ECB"/>
          <w:kern w:val="36"/>
          <w:sz w:val="48"/>
          <w:szCs w:val="48"/>
        </w:rPr>
      </w:pPr>
      <w:r w:rsidRPr="009E06E9">
        <w:rPr>
          <w:rFonts w:ascii="Helvetica" w:eastAsia="Times New Roman" w:hAnsi="Helvetica" w:cs="Helvetica"/>
          <w:b/>
          <w:bCs/>
          <w:color w:val="0C5ECB"/>
          <w:kern w:val="36"/>
          <w:sz w:val="48"/>
          <w:szCs w:val="48"/>
        </w:rPr>
        <w:t>How New Jerse</w:t>
      </w:r>
      <w:r>
        <w:rPr>
          <w:rFonts w:ascii="Helvetica" w:eastAsia="Times New Roman" w:hAnsi="Helvetica" w:cs="Helvetica"/>
          <w:b/>
          <w:bCs/>
          <w:color w:val="0C5ECB"/>
          <w:kern w:val="36"/>
          <w:sz w:val="48"/>
          <w:szCs w:val="48"/>
        </w:rPr>
        <w:t>y distribute a COVID-19 vaccine.</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Pr>
          <w:rFonts w:ascii="Helvetica" w:eastAsia="Times New Roman" w:hAnsi="Helvetica" w:cs="Helvetica"/>
          <w:color w:val="212529"/>
          <w:sz w:val="24"/>
          <w:szCs w:val="24"/>
        </w:rPr>
        <w:t>N</w:t>
      </w:r>
      <w:r w:rsidRPr="009E06E9">
        <w:rPr>
          <w:rFonts w:ascii="Helvetica" w:eastAsia="Times New Roman" w:hAnsi="Helvetica" w:cs="Helvetica"/>
          <w:color w:val="212529"/>
          <w:sz w:val="24"/>
          <w:szCs w:val="24"/>
        </w:rPr>
        <w:t>ew Jersey will roll out COVID-19 vaccines step-by-step to serve all adults who live, work, or are being educated in the state. While the State's current plan is highlighted below, the plan will continually be updated in response to the changing circumstances of the pandemic.</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New Jersey's COVID-19 vaccination program aims to:</w:t>
      </w:r>
    </w:p>
    <w:p w:rsidR="009E06E9" w:rsidRPr="009E06E9" w:rsidRDefault="009E06E9" w:rsidP="009E06E9">
      <w:pPr>
        <w:numPr>
          <w:ilvl w:val="0"/>
          <w:numId w:val="2"/>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Provide equitable access to all who live, work, and/or are educated in New Jersey</w:t>
      </w:r>
    </w:p>
    <w:p w:rsidR="009E06E9" w:rsidRPr="009E06E9" w:rsidRDefault="009E06E9" w:rsidP="009E06E9">
      <w:pPr>
        <w:numPr>
          <w:ilvl w:val="0"/>
          <w:numId w:val="2"/>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Achieve community protection, assuming vaccine effectiveness, availability, and uptake</w:t>
      </w:r>
    </w:p>
    <w:p w:rsidR="009E06E9" w:rsidRPr="009E06E9" w:rsidRDefault="009E06E9" w:rsidP="009E06E9">
      <w:pPr>
        <w:numPr>
          <w:ilvl w:val="0"/>
          <w:numId w:val="2"/>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Build sustainable trust in COVID-19 and other vaccines</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The State's goal is to vaccinate 70 percent of the adult population – or 4.7 million adults – within six months.</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inherit" w:eastAsia="Times New Roman" w:hAnsi="inherit" w:cs="Helvetica"/>
          <w:b/>
          <w:bCs/>
          <w:color w:val="212529"/>
          <w:sz w:val="24"/>
          <w:szCs w:val="24"/>
        </w:rPr>
        <w:t>Vaccination Phases</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Currently, vaccines are available to those who are in </w:t>
      </w:r>
      <w:r w:rsidRPr="009E06E9">
        <w:rPr>
          <w:rFonts w:ascii="inherit" w:eastAsia="Times New Roman" w:hAnsi="inherit" w:cs="Helvetica"/>
          <w:b/>
          <w:bCs/>
          <w:color w:val="212529"/>
          <w:sz w:val="24"/>
          <w:szCs w:val="24"/>
        </w:rPr>
        <w:t>Phase 1A</w:t>
      </w:r>
      <w:r w:rsidRPr="009E06E9">
        <w:rPr>
          <w:rFonts w:ascii="Helvetica" w:eastAsia="Times New Roman" w:hAnsi="Helvetica" w:cs="Helvetica"/>
          <w:color w:val="212529"/>
          <w:sz w:val="24"/>
          <w:szCs w:val="24"/>
        </w:rPr>
        <w:t> which includes paid and unpaid persons serving in health care settings who have the potential for direct or indirect exposure to patients or infectious materials as well as residents and staff of long-term congregate settings.</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Once vaccine availability expands, vaccination will advance to Phase 1B, then Phase 1C, and then Phase 2.</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Currently, </w:t>
      </w:r>
      <w:r w:rsidRPr="009E06E9">
        <w:rPr>
          <w:rFonts w:ascii="inherit" w:eastAsia="Times New Roman" w:hAnsi="inherit" w:cs="Helvetica"/>
          <w:b/>
          <w:bCs/>
          <w:color w:val="212529"/>
          <w:sz w:val="24"/>
          <w:szCs w:val="24"/>
        </w:rPr>
        <w:t>Phase 1B</w:t>
      </w:r>
      <w:r w:rsidRPr="009E06E9">
        <w:rPr>
          <w:rFonts w:ascii="Helvetica" w:eastAsia="Times New Roman" w:hAnsi="Helvetica" w:cs="Helvetica"/>
          <w:color w:val="212529"/>
          <w:sz w:val="24"/>
          <w:szCs w:val="24"/>
        </w:rPr>
        <w:t> of vaccination will include frontline essential workers and individuals over 75; </w:t>
      </w:r>
      <w:r w:rsidRPr="009E06E9">
        <w:rPr>
          <w:rFonts w:ascii="inherit" w:eastAsia="Times New Roman" w:hAnsi="inherit" w:cs="Helvetica"/>
          <w:b/>
          <w:bCs/>
          <w:color w:val="212529"/>
          <w:sz w:val="24"/>
          <w:szCs w:val="24"/>
        </w:rPr>
        <w:t>Phase 1C</w:t>
      </w:r>
      <w:r w:rsidRPr="009E06E9">
        <w:rPr>
          <w:rFonts w:ascii="Helvetica" w:eastAsia="Times New Roman" w:hAnsi="Helvetica" w:cs="Helvetica"/>
          <w:color w:val="212529"/>
          <w:sz w:val="24"/>
          <w:szCs w:val="24"/>
        </w:rPr>
        <w:t> will include other essential workers, adults 65-74, and persons aged 16-64 with medical conditions that increase the risk for severe COVID-19.</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Following these phases, the general public (Phase 2) will be eligible for vaccination.</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For more information about the phased approach and priority groups, refer to this </w:t>
      </w:r>
      <w:hyperlink r:id="rId5" w:history="1">
        <w:r w:rsidRPr="009E06E9">
          <w:rPr>
            <w:rFonts w:ascii="inherit" w:eastAsia="Times New Roman" w:hAnsi="inherit" w:cs="Helvetica"/>
            <w:color w:val="0F70F0"/>
            <w:sz w:val="24"/>
            <w:szCs w:val="24"/>
            <w:u w:val="single"/>
          </w:rPr>
          <w:t>Health Department document</w:t>
        </w:r>
      </w:hyperlink>
      <w:r w:rsidRPr="009E06E9">
        <w:rPr>
          <w:rFonts w:ascii="Helvetica" w:eastAsia="Times New Roman" w:hAnsi="Helvetica" w:cs="Helvetica"/>
          <w:color w:val="212529"/>
          <w:sz w:val="24"/>
          <w:szCs w:val="24"/>
        </w:rPr>
        <w:t>.</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inherit" w:eastAsia="Times New Roman" w:hAnsi="inherit" w:cs="Helvetica"/>
          <w:b/>
          <w:bCs/>
          <w:color w:val="212529"/>
          <w:sz w:val="24"/>
          <w:szCs w:val="24"/>
        </w:rPr>
        <w:t>Vaccine Distribution</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New Jersey was awarded over 400,000 vaccines in the month of December. Of that, approximately 120,000 doses have been reserved for long-term care facilities and 280,000 doses have been allocated to hospitals and community sites.</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lastRenderedPageBreak/>
        <w:t>New Jersey was awarded an additional 106,000 for the first week of January. Of that, approximately 53,000 doses have been reserved for long-term care facilities with another 53,000 being allocated to hospitals and community sites.</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Vaccinations began on December 15th in New Jersey hospitals for paid and unpaid persons serving in their health facilities.</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New Jersey is partnering with Rite Aid to provide vaccinations to home care and hospice staff. Information about scheduling appointments is being provided through home health agencies and their industry associations.</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As of December 30, through the Federal Pharmacy Partnership for Long-Term Care Program with CVS and Walgreens, New Jersey has over 500 long-term care facilities scheduled - including the State's three veterans memorial homes - and over 100,000 residents and staff slated to receive vaccinations through the beginning of February 2021. Additional sites will be added in the coming weeks.</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After nursing home residents and staff are vaccinated, CVS and Walgreens will begin to vaccinate thousands of residents and staff in other congregate settings including Assisted Living facilities, the five state developmental centers, federal housing for seniors and group homes and other long-term residential facilities. New Jersey also has a network of community vaccination sites for vulnerable residents who live in congregate settings not eligible for this federal partnership.</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New Jersey is also developing an extensive network of vaccination sites to serve those currently eligible for vaccination. By early January, the vaccination sites network will include acute care hospitals, large state-coordinated mega sites, county/local sites, retail pharmacies and other medical locations. At this time, New Jersey cannot arrange for all groups to receive distributions directly, so vaccine recipients may need to go off-site to be vaccinated.</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Six mega sites throughout New Jersey will serve as vaccination hubs for phased priority groups, part of a critical network of over 200 sites tasked with carrying out the state's COVID-19 vaccination plan fairly and equitably:</w:t>
      </w:r>
    </w:p>
    <w:p w:rsidR="009E06E9" w:rsidRPr="009E06E9" w:rsidRDefault="009E06E9" w:rsidP="009E06E9">
      <w:pPr>
        <w:numPr>
          <w:ilvl w:val="0"/>
          <w:numId w:val="1"/>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Atlantic County: Atlantic City Convention Center</w:t>
      </w:r>
    </w:p>
    <w:p w:rsidR="009E06E9" w:rsidRPr="009E06E9" w:rsidRDefault="009E06E9" w:rsidP="009E06E9">
      <w:pPr>
        <w:numPr>
          <w:ilvl w:val="0"/>
          <w:numId w:val="1"/>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Bergen County: Racetrack at Meadowlands, East Rutherford</w:t>
      </w:r>
    </w:p>
    <w:p w:rsidR="009E06E9" w:rsidRPr="009E06E9" w:rsidRDefault="009E06E9" w:rsidP="009E06E9">
      <w:pPr>
        <w:numPr>
          <w:ilvl w:val="0"/>
          <w:numId w:val="1"/>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Burlington County: Moorestown Mall</w:t>
      </w:r>
    </w:p>
    <w:p w:rsidR="009E06E9" w:rsidRPr="009E06E9" w:rsidRDefault="009E06E9" w:rsidP="009E06E9">
      <w:pPr>
        <w:numPr>
          <w:ilvl w:val="0"/>
          <w:numId w:val="1"/>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Gloucester County: Rowan College of South Jersey, Sewell</w:t>
      </w:r>
    </w:p>
    <w:p w:rsidR="009E06E9" w:rsidRPr="009E06E9" w:rsidRDefault="009E06E9" w:rsidP="009E06E9">
      <w:pPr>
        <w:numPr>
          <w:ilvl w:val="0"/>
          <w:numId w:val="1"/>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Middlesex County: New Jersey Convention and Exposition Center, Edison</w:t>
      </w:r>
    </w:p>
    <w:p w:rsidR="009E06E9" w:rsidRPr="009E06E9" w:rsidRDefault="009E06E9" w:rsidP="009E06E9">
      <w:pPr>
        <w:numPr>
          <w:ilvl w:val="0"/>
          <w:numId w:val="1"/>
        </w:numPr>
        <w:spacing w:after="0" w:line="240" w:lineRule="auto"/>
        <w:textAlignment w:val="baseline"/>
        <w:rPr>
          <w:rFonts w:ascii="inherit" w:eastAsia="Times New Roman" w:hAnsi="inherit" w:cs="Helvetica"/>
          <w:color w:val="212529"/>
          <w:sz w:val="24"/>
          <w:szCs w:val="24"/>
        </w:rPr>
      </w:pPr>
      <w:r w:rsidRPr="009E06E9">
        <w:rPr>
          <w:rFonts w:ascii="inherit" w:eastAsia="Times New Roman" w:hAnsi="inherit" w:cs="Helvetica"/>
          <w:color w:val="212529"/>
          <w:sz w:val="24"/>
          <w:szCs w:val="24"/>
        </w:rPr>
        <w:t xml:space="preserve">Morris County: Rockaway </w:t>
      </w:r>
      <w:proofErr w:type="spellStart"/>
      <w:r w:rsidRPr="009E06E9">
        <w:rPr>
          <w:rFonts w:ascii="inherit" w:eastAsia="Times New Roman" w:hAnsi="inherit" w:cs="Helvetica"/>
          <w:color w:val="212529"/>
          <w:sz w:val="24"/>
          <w:szCs w:val="24"/>
        </w:rPr>
        <w:t>Townsquare</w:t>
      </w:r>
      <w:proofErr w:type="spellEnd"/>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 xml:space="preserve">The six state-coordinated sites are expected to begin opening in early January and will immediately be in position to vaccinate front-line healthcare workers and then continue in a phased approach depending on the supply of vaccine to New Jersey. After these phases are complete, then the general public will be eligible for vaccination. The timing </w:t>
      </w:r>
      <w:r w:rsidRPr="009E06E9">
        <w:rPr>
          <w:rFonts w:ascii="Helvetica" w:eastAsia="Times New Roman" w:hAnsi="Helvetica" w:cs="Helvetica"/>
          <w:color w:val="212529"/>
          <w:sz w:val="24"/>
          <w:szCs w:val="24"/>
        </w:rPr>
        <w:lastRenderedPageBreak/>
        <w:t>of the progression among the groups depends on the supply of vaccine to the state balanced by the demand in various phases.</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inherit" w:eastAsia="Times New Roman" w:hAnsi="inherit" w:cs="Helvetica"/>
          <w:b/>
          <w:bCs/>
          <w:color w:val="212529"/>
          <w:sz w:val="24"/>
          <w:szCs w:val="24"/>
        </w:rPr>
        <w:t xml:space="preserve">Scheduling </w:t>
      </w:r>
      <w:proofErr w:type="gramStart"/>
      <w:r w:rsidRPr="009E06E9">
        <w:rPr>
          <w:rFonts w:ascii="inherit" w:eastAsia="Times New Roman" w:hAnsi="inherit" w:cs="Helvetica"/>
          <w:b/>
          <w:bCs/>
          <w:color w:val="212529"/>
          <w:sz w:val="24"/>
          <w:szCs w:val="24"/>
        </w:rPr>
        <w:t>A</w:t>
      </w:r>
      <w:proofErr w:type="gramEnd"/>
      <w:r w:rsidRPr="009E06E9">
        <w:rPr>
          <w:rFonts w:ascii="inherit" w:eastAsia="Times New Roman" w:hAnsi="inherit" w:cs="Helvetica"/>
          <w:b/>
          <w:bCs/>
          <w:color w:val="212529"/>
          <w:sz w:val="24"/>
          <w:szCs w:val="24"/>
        </w:rPr>
        <w:t xml:space="preserve"> Vaccination</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New Jersey will launch a statewide vaccine scheduling system to help consumers connect with identified nearby points of dispensing sites. This online portal will enable the various groups in the initial phases and eventually the general public to register and then find a vaccination site, pre-register, and schedule an appointment. Some vaccination sites may offer walk-up/on-site registration as well when doses are more readily available</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inherit" w:eastAsia="Times New Roman" w:hAnsi="inherit" w:cs="Helvetica"/>
          <w:b/>
          <w:bCs/>
          <w:color w:val="212529"/>
          <w:sz w:val="24"/>
          <w:szCs w:val="24"/>
        </w:rPr>
        <w:t>Vaccination Data</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hyperlink r:id="rId6" w:history="1">
        <w:r w:rsidRPr="009E06E9">
          <w:rPr>
            <w:rFonts w:ascii="inherit" w:eastAsia="Times New Roman" w:hAnsi="inherit" w:cs="Helvetica"/>
            <w:color w:val="0F70F0"/>
            <w:sz w:val="24"/>
            <w:szCs w:val="24"/>
            <w:u w:val="single"/>
          </w:rPr>
          <w:t>Executive Order No. 207</w:t>
        </w:r>
      </w:hyperlink>
      <w:r w:rsidRPr="009E06E9">
        <w:rPr>
          <w:rFonts w:ascii="Helvetica" w:eastAsia="Times New Roman" w:hAnsi="Helvetica" w:cs="Helvetica"/>
          <w:color w:val="212529"/>
          <w:sz w:val="24"/>
          <w:szCs w:val="24"/>
        </w:rPr>
        <w:t> changes inclusion into the New Jersey Immunization Information System (NJIIS) from an opt-in to an opt-out program for any resident who chooses to receive a COVID-19 vaccination. This means that individuals who wish to be vaccinated against COVID-19 do not have to first opt-in to the system to make sure that their two-dose regimen is properly tracked and managed. 30 days after the current public health emergency ends, individuals who enrolled due to the COVID-19 vaccine will be afforded the opportunity to withdraw from the system. </w:t>
      </w:r>
      <w:r w:rsidRPr="009E06E9">
        <w:rPr>
          <w:rFonts w:ascii="inherit" w:eastAsia="Times New Roman" w:hAnsi="inherit" w:cs="Helvetica"/>
          <w:b/>
          <w:bCs/>
          <w:color w:val="212529"/>
          <w:sz w:val="24"/>
          <w:szCs w:val="24"/>
        </w:rPr>
        <w:t>The Executive Order does not force anyone to receive the vaccine.</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 xml:space="preserve">NJIIS will securely store the vaccine recipient's name, address, </w:t>
      </w:r>
      <w:proofErr w:type="gramStart"/>
      <w:r w:rsidRPr="009E06E9">
        <w:rPr>
          <w:rFonts w:ascii="Helvetica" w:eastAsia="Times New Roman" w:hAnsi="Helvetica" w:cs="Helvetica"/>
          <w:color w:val="212529"/>
          <w:sz w:val="24"/>
          <w:szCs w:val="24"/>
        </w:rPr>
        <w:t>date</w:t>
      </w:r>
      <w:proofErr w:type="gramEnd"/>
      <w:r w:rsidRPr="009E06E9">
        <w:rPr>
          <w:rFonts w:ascii="Helvetica" w:eastAsia="Times New Roman" w:hAnsi="Helvetica" w:cs="Helvetica"/>
          <w:color w:val="212529"/>
          <w:sz w:val="24"/>
          <w:szCs w:val="24"/>
        </w:rPr>
        <w:t xml:space="preserve"> of birth, race, ethnicity, and gender. These are standard data elements that have been used across vaccines administered in New Jersey. These will be requested during pre-registration and/or on-site. Information about the vaccine provider, substance, and administration will be collected from the POD personnel.</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 xml:space="preserve">There are other data that New </w:t>
      </w:r>
      <w:proofErr w:type="spellStart"/>
      <w:r w:rsidRPr="009E06E9">
        <w:rPr>
          <w:rFonts w:ascii="Helvetica" w:eastAsia="Times New Roman" w:hAnsi="Helvetica" w:cs="Helvetica"/>
          <w:color w:val="212529"/>
          <w:sz w:val="24"/>
          <w:szCs w:val="24"/>
        </w:rPr>
        <w:t>Jerseyans</w:t>
      </w:r>
      <w:proofErr w:type="spellEnd"/>
      <w:r w:rsidRPr="009E06E9">
        <w:rPr>
          <w:rFonts w:ascii="Helvetica" w:eastAsia="Times New Roman" w:hAnsi="Helvetica" w:cs="Helvetica"/>
          <w:color w:val="212529"/>
          <w:sz w:val="24"/>
          <w:szCs w:val="24"/>
        </w:rPr>
        <w:t xml:space="preserve"> may be asked and that will not be stored in NJIIS. Depending on the POD and its scheduling process, New </w:t>
      </w:r>
      <w:proofErr w:type="spellStart"/>
      <w:r w:rsidRPr="009E06E9">
        <w:rPr>
          <w:rFonts w:ascii="Helvetica" w:eastAsia="Times New Roman" w:hAnsi="Helvetica" w:cs="Helvetica"/>
          <w:color w:val="212529"/>
          <w:sz w:val="24"/>
          <w:szCs w:val="24"/>
        </w:rPr>
        <w:t>Jerseyans</w:t>
      </w:r>
      <w:proofErr w:type="spellEnd"/>
      <w:r w:rsidRPr="009E06E9">
        <w:rPr>
          <w:rFonts w:ascii="Helvetica" w:eastAsia="Times New Roman" w:hAnsi="Helvetica" w:cs="Helvetica"/>
          <w:color w:val="212529"/>
          <w:sz w:val="24"/>
          <w:szCs w:val="24"/>
        </w:rPr>
        <w:t xml:space="preserve"> can also expect to provide additional demographic and occupational data to ensure equitable and efficient scheduling of vaccinations. These data points will be informed by ACIP recommendations about prioritization (e.g. Phase 1A will include healthcare personnel).</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Finally, medical screening questions will be asked to assess eligibility under the EUA and ACIP recommendations specific to the vaccine product offered at the point of dispensing.</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All data collected can only be used for public health purposes, like ensuring that the same person returns for a second dose of the same COVID-19 vaccine at the right time interval. Data cannot be used for civil or criminal enforcement and cannot be used for immigration enforcement.</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For more information about NJIIS, refer to NJ DOH's </w:t>
      </w:r>
      <w:hyperlink r:id="rId7" w:history="1">
        <w:r w:rsidRPr="009E06E9">
          <w:rPr>
            <w:rFonts w:ascii="inherit" w:eastAsia="Times New Roman" w:hAnsi="inherit" w:cs="Helvetica"/>
            <w:color w:val="0F70F0"/>
            <w:sz w:val="24"/>
            <w:szCs w:val="24"/>
            <w:u w:val="single"/>
          </w:rPr>
          <w:t>Keeping Track of COVID-19 Vaccine through NJIIS</w:t>
        </w:r>
      </w:hyperlink>
      <w:r w:rsidRPr="009E06E9">
        <w:rPr>
          <w:rFonts w:ascii="Helvetica" w:eastAsia="Times New Roman" w:hAnsi="Helvetica" w:cs="Helvetica"/>
          <w:color w:val="212529"/>
          <w:sz w:val="24"/>
          <w:szCs w:val="24"/>
        </w:rPr>
        <w:t> document.</w:t>
      </w:r>
    </w:p>
    <w:p w:rsidR="009E06E9" w:rsidRPr="009E06E9" w:rsidRDefault="009E06E9" w:rsidP="009E06E9">
      <w:pPr>
        <w:spacing w:before="100" w:beforeAutospacing="1" w:after="10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lastRenderedPageBreak/>
        <w:t>The Department is finalizing a public dashboard which will show doses administered and some demographic information. Data will be updated weekly and refined over time.</w:t>
      </w:r>
    </w:p>
    <w:p w:rsidR="009E06E9" w:rsidRPr="009E06E9" w:rsidRDefault="009E06E9" w:rsidP="009E06E9">
      <w:pPr>
        <w:spacing w:beforeAutospacing="1" w:after="0" w:afterAutospacing="1" w:line="240" w:lineRule="auto"/>
        <w:textAlignment w:val="baseline"/>
        <w:rPr>
          <w:rFonts w:ascii="Helvetica" w:eastAsia="Times New Roman" w:hAnsi="Helvetica" w:cs="Helvetica"/>
          <w:color w:val="212529"/>
          <w:sz w:val="24"/>
          <w:szCs w:val="24"/>
        </w:rPr>
      </w:pPr>
      <w:r w:rsidRPr="009E06E9">
        <w:rPr>
          <w:rFonts w:ascii="Helvetica" w:eastAsia="Times New Roman" w:hAnsi="Helvetica" w:cs="Helvetica"/>
          <w:color w:val="212529"/>
          <w:sz w:val="24"/>
          <w:szCs w:val="24"/>
        </w:rPr>
        <w:t>Source: </w:t>
      </w:r>
      <w:hyperlink r:id="rId8" w:history="1">
        <w:r w:rsidRPr="009E06E9">
          <w:rPr>
            <w:rFonts w:ascii="inherit" w:eastAsia="Times New Roman" w:hAnsi="inherit" w:cs="Helvetica"/>
            <w:color w:val="0F70F0"/>
            <w:sz w:val="24"/>
            <w:szCs w:val="24"/>
            <w:u w:val="single"/>
          </w:rPr>
          <w:t>COVID-19 Briefings</w:t>
        </w:r>
      </w:hyperlink>
      <w:r w:rsidRPr="009E06E9">
        <w:rPr>
          <w:rFonts w:ascii="Helvetica" w:eastAsia="Times New Roman" w:hAnsi="Helvetica" w:cs="Helvetica"/>
          <w:color w:val="212529"/>
          <w:sz w:val="24"/>
          <w:szCs w:val="24"/>
        </w:rPr>
        <w:t>; </w:t>
      </w:r>
      <w:hyperlink r:id="rId9" w:history="1">
        <w:r w:rsidRPr="009E06E9">
          <w:rPr>
            <w:rFonts w:ascii="inherit" w:eastAsia="Times New Roman" w:hAnsi="inherit" w:cs="Helvetica"/>
            <w:color w:val="0F70F0"/>
            <w:sz w:val="24"/>
            <w:szCs w:val="24"/>
            <w:u w:val="single"/>
          </w:rPr>
          <w:t>DOH COVID-19 Vaccination Page</w:t>
        </w:r>
      </w:hyperlink>
      <w:r w:rsidRPr="009E06E9">
        <w:rPr>
          <w:rFonts w:ascii="Helvetica" w:eastAsia="Times New Roman" w:hAnsi="Helvetica" w:cs="Helvetica"/>
          <w:color w:val="212529"/>
          <w:sz w:val="24"/>
          <w:szCs w:val="24"/>
        </w:rPr>
        <w:t>; </w:t>
      </w:r>
      <w:hyperlink r:id="rId10" w:history="1">
        <w:r w:rsidRPr="009E06E9">
          <w:rPr>
            <w:rFonts w:ascii="inherit" w:eastAsia="Times New Roman" w:hAnsi="inherit" w:cs="Helvetica"/>
            <w:color w:val="0F70F0"/>
            <w:sz w:val="24"/>
            <w:szCs w:val="24"/>
            <w:u w:val="single"/>
          </w:rPr>
          <w:t xml:space="preserve">DOH Health Commissioner </w:t>
        </w:r>
        <w:proofErr w:type="spellStart"/>
        <w:r w:rsidRPr="009E06E9">
          <w:rPr>
            <w:rFonts w:ascii="inherit" w:eastAsia="Times New Roman" w:hAnsi="inherit" w:cs="Helvetica"/>
            <w:color w:val="0F70F0"/>
            <w:sz w:val="24"/>
            <w:szCs w:val="24"/>
            <w:u w:val="single"/>
          </w:rPr>
          <w:t>Persichilli's</w:t>
        </w:r>
        <w:proofErr w:type="spellEnd"/>
        <w:r w:rsidRPr="009E06E9">
          <w:rPr>
            <w:rFonts w:ascii="inherit" w:eastAsia="Times New Roman" w:hAnsi="inherit" w:cs="Helvetica"/>
            <w:color w:val="0F70F0"/>
            <w:sz w:val="24"/>
            <w:szCs w:val="24"/>
            <w:u w:val="single"/>
          </w:rPr>
          <w:t xml:space="preserve"> Remarks 12/28/20</w:t>
        </w:r>
      </w:hyperlink>
    </w:p>
    <w:p w:rsidR="00A50316" w:rsidRDefault="00A50316"/>
    <w:sectPr w:rsidR="00A50316" w:rsidSect="00A503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9F3"/>
    <w:multiLevelType w:val="multilevel"/>
    <w:tmpl w:val="5EF0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057248"/>
    <w:multiLevelType w:val="multilevel"/>
    <w:tmpl w:val="E74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06E9"/>
    <w:rsid w:val="009E06E9"/>
    <w:rsid w:val="00A50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16"/>
  </w:style>
  <w:style w:type="paragraph" w:styleId="Heading1">
    <w:name w:val="heading 1"/>
    <w:basedOn w:val="Normal"/>
    <w:link w:val="Heading1Char"/>
    <w:uiPriority w:val="9"/>
    <w:qFormat/>
    <w:rsid w:val="009E0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06E9"/>
    <w:rPr>
      <w:b/>
      <w:bCs/>
    </w:rPr>
  </w:style>
  <w:style w:type="character" w:styleId="Hyperlink">
    <w:name w:val="Hyperlink"/>
    <w:basedOn w:val="DefaultParagraphFont"/>
    <w:uiPriority w:val="99"/>
    <w:semiHidden/>
    <w:unhideWhenUsed/>
    <w:rsid w:val="009E06E9"/>
    <w:rPr>
      <w:color w:val="0000FF"/>
      <w:u w:val="single"/>
    </w:rPr>
  </w:style>
  <w:style w:type="character" w:customStyle="1" w:styleId="Heading1Char">
    <w:name w:val="Heading 1 Char"/>
    <w:basedOn w:val="DefaultParagraphFont"/>
    <w:link w:val="Heading1"/>
    <w:uiPriority w:val="9"/>
    <w:rsid w:val="009E06E9"/>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74314224">
      <w:bodyDiv w:val="1"/>
      <w:marLeft w:val="0"/>
      <w:marRight w:val="0"/>
      <w:marTop w:val="0"/>
      <w:marBottom w:val="0"/>
      <w:divBdr>
        <w:top w:val="none" w:sz="0" w:space="0" w:color="auto"/>
        <w:left w:val="none" w:sz="0" w:space="0" w:color="auto"/>
        <w:bottom w:val="none" w:sz="0" w:space="0" w:color="auto"/>
        <w:right w:val="none" w:sz="0" w:space="0" w:color="auto"/>
      </w:divBdr>
    </w:div>
    <w:div w:id="1052273198">
      <w:bodyDiv w:val="1"/>
      <w:marLeft w:val="0"/>
      <w:marRight w:val="0"/>
      <w:marTop w:val="0"/>
      <w:marBottom w:val="0"/>
      <w:divBdr>
        <w:top w:val="none" w:sz="0" w:space="0" w:color="auto"/>
        <w:left w:val="none" w:sz="0" w:space="0" w:color="auto"/>
        <w:bottom w:val="none" w:sz="0" w:space="0" w:color="auto"/>
        <w:right w:val="none" w:sz="0" w:space="0" w:color="auto"/>
      </w:divBdr>
    </w:div>
    <w:div w:id="16241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H8YwF0eRl9E5lpGj8OaiLg" TargetMode="External"/><Relationship Id="rId3" Type="http://schemas.openxmlformats.org/officeDocument/2006/relationships/settings" Target="settings.xml"/><Relationship Id="rId7" Type="http://schemas.openxmlformats.org/officeDocument/2006/relationships/hyperlink" Target="https://www.nj.gov/health/cd/documents/topics/NCOV/njiis_executiv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gov/infobank/eo/056murphy/pdf/EO-207.pdf" TargetMode="External"/><Relationship Id="rId11" Type="http://schemas.openxmlformats.org/officeDocument/2006/relationships/fontTable" Target="fontTable.xml"/><Relationship Id="rId5" Type="http://schemas.openxmlformats.org/officeDocument/2006/relationships/hyperlink" Target="https://nj.gov/health/legal/covid19/NJ%20Interim%20COVID-19%20Vaccination%20Plan%20-%20Revised%2012-15-20.pdf" TargetMode="External"/><Relationship Id="rId10" Type="http://schemas.openxmlformats.org/officeDocument/2006/relationships/hyperlink" Target="https://www.youtube.com/watch?v=8a9saIbn8M4" TargetMode="External"/><Relationship Id="rId4" Type="http://schemas.openxmlformats.org/officeDocument/2006/relationships/webSettings" Target="webSettings.xml"/><Relationship Id="rId9" Type="http://schemas.openxmlformats.org/officeDocument/2006/relationships/hyperlink" Target="https://www.state.nj.us/health/cd/topics/covid2019_vaccin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DB85</dc:creator>
  <cp:lastModifiedBy>DB85</cp:lastModifiedBy>
  <cp:revision>1</cp:revision>
  <dcterms:created xsi:type="dcterms:W3CDTF">2020-12-31T14:46:00Z</dcterms:created>
  <dcterms:modified xsi:type="dcterms:W3CDTF">2020-12-31T14:49:00Z</dcterms:modified>
</cp:coreProperties>
</file>